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649" w:rsidRDefault="00C01649" w:rsidP="00E21237">
      <w:bookmarkStart w:id="0" w:name="_GoBack"/>
      <w:bookmarkEnd w:id="0"/>
    </w:p>
    <w:p w:rsidR="00C01649" w:rsidRDefault="00C01649">
      <w:pPr>
        <w:pStyle w:val="Heading1"/>
        <w:jc w:val="center"/>
      </w:pPr>
    </w:p>
    <w:p w:rsidR="00C01649" w:rsidRDefault="00C01649">
      <w:pPr>
        <w:pStyle w:val="Heading1"/>
        <w:jc w:val="center"/>
      </w:pPr>
    </w:p>
    <w:p w:rsidR="00C01649" w:rsidRDefault="00C01649">
      <w:pPr>
        <w:pStyle w:val="Heading1"/>
        <w:jc w:val="center"/>
      </w:pPr>
    </w:p>
    <w:p w:rsidR="00C01649" w:rsidRDefault="00C01649">
      <w:pPr>
        <w:pStyle w:val="Heading1"/>
        <w:jc w:val="center"/>
      </w:pPr>
    </w:p>
    <w:p w:rsidR="00C01649" w:rsidRDefault="00C01649">
      <w:pPr>
        <w:jc w:val="center"/>
        <w:rPr>
          <w:rFonts w:ascii="Times New Roman" w:hAnsi="Times New Roman" w:cs="Times New Roman"/>
          <w:sz w:val="24"/>
          <w:szCs w:val="24"/>
        </w:rPr>
      </w:pPr>
    </w:p>
    <w:p w:rsidR="00C01649" w:rsidRDefault="00C01649">
      <w:pP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321B4D">
      <w:pPr>
        <w:jc w:val="center"/>
        <w:rPr>
          <w:rFonts w:ascii="Times New Roman" w:hAnsi="Times New Roman" w:cs="Times New Roman"/>
          <w:sz w:val="24"/>
          <w:szCs w:val="24"/>
        </w:rPr>
      </w:pPr>
      <w:r>
        <w:rPr>
          <w:rFonts w:ascii="Times New Roman" w:hAnsi="Times New Roman" w:cs="Times New Roman"/>
          <w:sz w:val="24"/>
          <w:szCs w:val="24"/>
        </w:rPr>
        <w:t>The Analysis of LEED Case Study</w:t>
      </w:r>
    </w:p>
    <w:p w:rsidR="00C01649" w:rsidRDefault="00321B4D">
      <w:pPr>
        <w:jc w:val="center"/>
        <w:rPr>
          <w:rFonts w:ascii="Times New Roman" w:hAnsi="Times New Roman" w:cs="Times New Roman"/>
          <w:sz w:val="24"/>
          <w:szCs w:val="24"/>
        </w:rPr>
      </w:pPr>
      <w:r>
        <w:rPr>
          <w:rFonts w:ascii="Times New Roman" w:hAnsi="Times New Roman" w:cs="Times New Roman"/>
          <w:sz w:val="24"/>
          <w:szCs w:val="24"/>
        </w:rPr>
        <w:t>Student’s Name</w:t>
      </w:r>
    </w:p>
    <w:p w:rsidR="00C01649" w:rsidRDefault="00321B4D">
      <w:pPr>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C01649" w:rsidRDefault="00C01649">
      <w:pPr>
        <w:jc w:val="cente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C01649">
      <w:pPr>
        <w:jc w:val="center"/>
        <w:rPr>
          <w:rFonts w:ascii="Times New Roman" w:hAnsi="Times New Roman" w:cs="Times New Roman"/>
          <w:sz w:val="24"/>
          <w:szCs w:val="24"/>
        </w:rPr>
      </w:pPr>
    </w:p>
    <w:p w:rsidR="00C01649" w:rsidRDefault="00C01649">
      <w:pPr>
        <w:pStyle w:val="Heading1"/>
        <w:rPr>
          <w:rFonts w:ascii="Times New Roman" w:eastAsia="Calibri" w:hAnsi="Times New Roman" w:cs="Times New Roman"/>
          <w:b w:val="0"/>
          <w:bCs w:val="0"/>
          <w:color w:val="auto"/>
          <w:sz w:val="24"/>
          <w:szCs w:val="24"/>
        </w:rPr>
      </w:pPr>
    </w:p>
    <w:p w:rsidR="00E21237" w:rsidRDefault="00E21237">
      <w:pPr>
        <w:pStyle w:val="Heading1"/>
        <w:jc w:val="center"/>
        <w:rPr>
          <w:rFonts w:ascii="Calibri" w:eastAsia="Calibri" w:hAnsi="Calibri"/>
          <w:b w:val="0"/>
          <w:bCs w:val="0"/>
          <w:color w:val="auto"/>
          <w:sz w:val="22"/>
          <w:szCs w:val="22"/>
        </w:rPr>
      </w:pPr>
    </w:p>
    <w:p w:rsidR="00E21237" w:rsidRPr="00E21237" w:rsidRDefault="00E21237" w:rsidP="00E21237"/>
    <w:p w:rsidR="00C01649" w:rsidRDefault="00321B4D">
      <w:pPr>
        <w:pStyle w:val="Heading1"/>
        <w:jc w:val="center"/>
      </w:pPr>
      <w:r>
        <w:lastRenderedPageBreak/>
        <w:t>The Analysis of LEED Case Study</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EPA office in Downtown Seattle is one of the green buildings that concentrate to improve the health and environment using the best quality certifications. EPA office in Park place has a capacity of 155,407 Square Feet. It also contains a maximum of 682 employees that occupy the office. EPA Park Place Region 10 took a critical project to ensure that its facility is sustainable and the occupants have the best health. EPA is the United States Environmental Protection Agency that has the mandate to ensure that environment and the human health are sustainable. This is through working towards reducing energy footprint and setting policies that should encourage the green building for a sustainable environment. To ensure good performance in EPA offices especially Park Place Downtown Seattle, Washington is adopting various components to increase efficiency and reduce its energy footprint. However, to have a sustainable development and facility, EPA Park Place had to use one of the quality energy saver systems. This provided EPA Park Place with some certification to accomplish its development that would give the best result. The highest certification for the existing buildings from the United States Green Building Council accredited Park Place with LEED platinum in 2009. In 2014, Park Place also received the LEED Platinum rating given for the existing building for the operation and maintenance. For the commercial interiors, Park place received LEED Gold in 2015. Park Place model for sustainability also attracted the Energy Star rating that rated the office 85. Having the best settings of offices or business has attracted different states. This is to ensure that the level of the energy used or omitted has limited impact on the performance and the general outcome of the whole process. However, the conflict of the certification may cause a difference to meet the goals of the human health and the environment. This paper analyses the EPA Park Place LEED case study.</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With the increasing level of technological development, people are increasingly making great achievements. However, such great achievements come with a great responsibility, which is to protect the environment and abide by the sustainable development guidelines. The case study material for this essay is regarding the model for sustainability. EPA highlights the need to protect the health and the environment as a whole. According to the case study, the EPA undertook the project of ensuring that the construction industry abides by the environmental sustainability regulations, which would minimize the environmental impacts of operations while also enhancing high performance. Diesendorf (2001) argues that even though the human societies have made great progress in terms of technological development in the past two centuries, but such developments have significantly affected people’s judgment. Yao (2016) also asserts that even though the main aim of the current society is to achieve a sustainable future, but the question of how it will get there remains an open-ended question. As mentioned in the case study, everyone involved needs to contribute to achieving this sustainability. The case highlights the employee contributions citing that all the EPA staffs were required to take part in different projects and programs.</w:t>
      </w:r>
    </w:p>
    <w:p w:rsidR="007277FE" w:rsidRPr="007277FE" w:rsidRDefault="00321B4D" w:rsidP="00556DD8">
      <w:pPr>
        <w:spacing w:after="0" w:line="240" w:lineRule="auto"/>
        <w:ind w:firstLine="720"/>
        <w:rPr>
          <w:rFonts w:ascii="Times New Roman" w:eastAsiaTheme="minorHAnsi" w:hAnsi="Times New Roman" w:cs="Times New Roman"/>
          <w:sz w:val="24"/>
          <w:szCs w:val="24"/>
        </w:rPr>
      </w:pPr>
      <w:r>
        <w:rPr>
          <w:rFonts w:ascii="Times New Roman" w:hAnsi="Times New Roman" w:cs="Times New Roman"/>
          <w:sz w:val="24"/>
          <w:szCs w:val="24"/>
        </w:rPr>
        <w:t xml:space="preserve">The level of participation of the participants was high. Employees actively participated in the project to ensure its success. The case highlights that employees provided different inputs including voting on the final floor finishes. Aside from taking part in different teams, the case further notes that employees contributed artwork as well.  The construction involved different teams; for instance, the furniture team, health, and safety team, and space allocation and standards team. </w:t>
      </w:r>
      <w:r w:rsidR="007277FE" w:rsidRPr="007277FE">
        <w:rPr>
          <w:rFonts w:ascii="Times New Roman" w:eastAsiaTheme="minorHAnsi" w:hAnsi="Times New Roman" w:cs="Times New Roman"/>
          <w:sz w:val="24"/>
          <w:szCs w:val="24"/>
        </w:rPr>
        <w:t xml:space="preserve">The employees’ contribution to the development of the sustainable environment at Park Place also encouraged the good performance and outcome of the project. Employees are an important figure in the development of any organization. EPA Park Places used every </w:t>
      </w:r>
      <w:r w:rsidR="007277FE" w:rsidRPr="007277FE">
        <w:rPr>
          <w:rFonts w:ascii="Times New Roman" w:eastAsiaTheme="minorHAnsi" w:hAnsi="Times New Roman" w:cs="Times New Roman"/>
          <w:sz w:val="24"/>
          <w:szCs w:val="24"/>
        </w:rPr>
        <w:lastRenderedPageBreak/>
        <w:t xml:space="preserve">opportunity necessary to meet the demands of the responsibility to protect the environment and human health. Like any other organization or company Park Place recognizes inclusivity as a model that can help to reach for more success in the future. The case material shows that the participation of the employees did not only cover the artwork, organization of different teams but also recycling of the old material like papers. Sustainability requires much since everything that is regarded waste is harmful to the environment and human health. As a result, every effort is made to ensure that the best outcome is met. In the old material, the Park Place employees diverted 541 pounds of metal, glass, and plastics. </w:t>
      </w:r>
    </w:p>
    <w:p w:rsidR="007277FE" w:rsidRPr="007277FE" w:rsidRDefault="007277FE" w:rsidP="00556DD8">
      <w:pPr>
        <w:spacing w:after="0" w:line="240" w:lineRule="auto"/>
        <w:ind w:firstLine="720"/>
        <w:rPr>
          <w:rFonts w:ascii="Times New Roman" w:eastAsiaTheme="minorHAnsi" w:hAnsi="Times New Roman" w:cs="Times New Roman"/>
          <w:sz w:val="24"/>
          <w:szCs w:val="24"/>
        </w:rPr>
      </w:pPr>
      <w:r w:rsidRPr="007277FE">
        <w:rPr>
          <w:rFonts w:ascii="Times New Roman" w:eastAsiaTheme="minorHAnsi" w:hAnsi="Times New Roman" w:cs="Times New Roman"/>
          <w:sz w:val="24"/>
          <w:szCs w:val="24"/>
        </w:rPr>
        <w:t>Another 51,255 pounds of paper were recycled and 3,035 pounds of techno-trash. This led to an approximation of 42,000 pounds of office purchases reused and other distributed to charities as indicated in the case material. The involvement of the employees in the whole process is one way to motivate employees which show them that their contribution matters to the success of the organization. According to Yao (2016), the key factor to achieve the best outcome is to consider the models that give the future hope for the sustainable development. For instance, Park Place cannot assume the part that the employees can play to ensure the best models are put in place to give the soluble outcome. This is because the employees’ contribution to any organization glimpses the best result for any project undertaken. For this reason, Park Place has managed to meet and take responsibility to reach the sustainability project which focuses to give its workers healthy working environment.</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systems in the building. Among the key systems highlighted in the case include the open floor plans, which include more open spaces to maximize the use of natural daylight. Also, the building consists of the high-functioning workplace which provides employees with providing the staff with the option of either to sit or stand while they are working. Other important systems that support the high-functioning workplace include the LED task lights as well as the occupancy monitor strips which assist in minimizing energy consumption by turning off the energy consumption in spaces that are not occupied. This, according to the case material, helps in making the workplace more effective and energy efficient as well. As Diesendorf (2001) explains, some of the key components of human well-being include access to clean air and water. The case highlights the water efficiency as one of the major achievements of the EPA project.  In an attempt to achieve water efficiency, EPA purchased Water Restoration Certificates in 2014 that ensures that there is constant water flow to areas where water has been scarce. </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EPA project also relied on sustainable furniture and materials that were based on third-party environmental organizations. All the new furniture and the materials are said to comply with the GreenGuard certification standards, which ensures that all the fabric materials used in construction have low or no emissions of volatile organic compounds. According to Diesendorf (2001), construction organizations impact the natural environment through their choices of materials and suppliers, geographic locations, and land use. EPA put this into consideration while constructing the Park Place. One of the ways to ensure that these important factors are put into consideration is by ensuring that all the building materials meet the standards such as GreenGuard and Cradle-to-Cradle certifications. According to the case material, EPA complied with the Cradle-to-Cradle certification, which ensures that the buildings and the materials used are not detrimental to the human life. Further, the organization also complied with the BIFMA level certification, which ensures that the furniture used is sustainable. Other certifications include the Forest Stewardship Council, which supports products obtained from well-managed forests. </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Many people misunderstand the concept of sustainability that it is only consumers who can benefit or get affected by unsustainable products or buildings. Diesendorf (2001) explains the reasons why construction companies can choose to become sustainable. Among the reasons he highlights include the fact that it reduces their operational and production costs through the efficient use of materials and turning wastes into resources. EPA realized that one way to ensure that it maintains sustainability is to rely on the used products. The case material talks about “making new with the old,” which involves reusing the already used materials. The renovation of the library on the first floor is one of the ways that EPA significantly reduced its costs. According to case material, over 75% of the total materials used in the renovation of the library were already used previously. All the renovation activities and products such as stacks, carrels, and seating were all made from already used furniture and fixtures. </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Corporations may also choose to adopt sustainability because it helps them gain market advantage and enhance customer loyalty due to the changes in the community that influence the sustainability practices. The carpeting in Park Place is believed to contain 24% recycled materials. Also, 30% of the EPA’s work is said to contain recycled contents. All these are some of the ways to change the public’s perception towards environmental sustainability. The only challenge is that it is difficult to determine the level of suitability of resolutions to help solve other types of environmental problems.</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Nature is tremendously efficient and its use reduces the amount of the energy an organization can use or emit to the air. The used energy is known to be harmful to the consumption of the human health which requires that this energy is contained. According to the case study, Park Place has a server room that is located at the building perimeter and takes its air outside and filters the air that gets to the servers. “Letting Nature Do the Work” has reduced the amount of energy that Park Place uses compared to the last years in 2008, 2009 and 2010. According to Moloney (2016), this method is known as biomimicry. This is because it embraces the use of the nature to solve the problems that may harm the environment or human health. Biomimicry has enabled sustainable development of energy use since it provides more effective and efficient energy that can be used for buildings (Moloney, 2016). As the case study examines this is the move Park Place adopts as the server room utilizes the Pacific Northwest mild climate. The consideration to let nature do the work is not entirely welcomed in Park Place since the level of energy use is at 47% when it should be lower than that in the next 10 lease year. Nature is a good energy saver and its use in any organization bears good fruit since it does not require more to have a sustainable environment.  The case study demonstrates that Park Place is also conserving and uses nature in the use of water in its building. Water consumption in the office has reduced by 22% with the use of the low-flow fixtures. This is also accompanied by getting a certification from a foundation that ensures an adequate supply of water in places with water scarcity. Water is an important part of living and in the sustainability process, it has to be considered. Through using nature Park Place uses rivers to ensure that its supply of water is efficient and effective. This is also reducing the number and amount of resources that it uses to ensure its activities have sufficient water.</w:t>
      </w:r>
      <w:r w:rsidR="00556DD8" w:rsidRPr="00556DD8">
        <w:rPr>
          <w:rFonts w:ascii="Times New Roman" w:hAnsi="Times New Roman" w:cs="Times New Roman"/>
          <w:sz w:val="24"/>
          <w:szCs w:val="24"/>
        </w:rPr>
        <w:t xml:space="preserve"> </w:t>
      </w:r>
      <w:r w:rsidR="00556DD8" w:rsidRPr="0097207F">
        <w:rPr>
          <w:rFonts w:ascii="Times New Roman" w:hAnsi="Times New Roman" w:cs="Times New Roman"/>
          <w:sz w:val="24"/>
          <w:szCs w:val="24"/>
        </w:rPr>
        <w:t xml:space="preserve">According to Yao (2016), the technological developments that are put in place to provide the long-lasting results should be focused upon. This is to ensure there are the customers’ acceptance and the penetration of the development in use. Park Place model to use the low-flow fixture is not only beneficial to the organizations’ activities but also to the customers. Water use is paramount and the level of water use is a factor of essentiality. As Yao (2016) addresses the matter of models of sustainable development, it is a project that is hard to come to term with. This, therefore, results in coming up with only </w:t>
      </w:r>
      <w:r w:rsidR="00556DD8" w:rsidRPr="0097207F">
        <w:rPr>
          <w:rFonts w:ascii="Times New Roman" w:hAnsi="Times New Roman" w:cs="Times New Roman"/>
          <w:sz w:val="24"/>
          <w:szCs w:val="24"/>
        </w:rPr>
        <w:lastRenderedPageBreak/>
        <w:t xml:space="preserve">possibilities for the future. However, the move by Park Place to use the relevant fixture is a way that glimpses the good result in present and in future. Moreover, the fixtures can help in the regions that have problems with water since the amount of water that is generated or used through the fixture is very low. </w:t>
      </w:r>
      <w:r>
        <w:rPr>
          <w:rFonts w:ascii="Times New Roman" w:hAnsi="Times New Roman" w:cs="Times New Roman"/>
          <w:sz w:val="24"/>
          <w:szCs w:val="24"/>
        </w:rPr>
        <w:t xml:space="preserve">  </w:t>
      </w:r>
    </w:p>
    <w:p w:rsidR="00C01649" w:rsidRDefault="00321B4D" w:rsidP="00556DD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nature is not much used in the green building; however, it is developing to show good performance. Nature has helped offices since it has reduced the amount of energy that the office uses. The reduction is lower as compared to the previous use of air conditioning.  Moreover, the success of the use of low-flow fixture at Park Place has seen tremendous development to EPA. This is because; the other offices of the EPA in different states have resolved to use the same fixture since it reduces the number of Gallons that they have to use in a day. The conservation of the workplaces should be a priority to any organization. According to the case study, Park Place is walking the talk to conserve the workplaces. However, the use of nature also has a disadvantage. This is because the installation and the movement of the server rooms are costly that incurs a lot of resources to meet.       </w:t>
      </w:r>
    </w:p>
    <w:p w:rsidR="00C01649" w:rsidRPr="00556DD8" w:rsidRDefault="00321B4D" w:rsidP="00556DD8">
      <w:pPr>
        <w:spacing w:after="0" w:line="240" w:lineRule="auto"/>
        <w:ind w:firstLine="720"/>
        <w:rPr>
          <w:rFonts w:ascii="Times New Roman" w:eastAsiaTheme="minorHAnsi" w:hAnsi="Times New Roman" w:cs="Times New Roman"/>
          <w:sz w:val="24"/>
          <w:szCs w:val="24"/>
        </w:rPr>
      </w:pPr>
      <w:r>
        <w:rPr>
          <w:rFonts w:ascii="Times New Roman" w:hAnsi="Times New Roman" w:cs="Times New Roman"/>
          <w:sz w:val="24"/>
          <w:szCs w:val="24"/>
        </w:rPr>
        <w:t xml:space="preserve">In conclusion, this case analysis has explained the key issues highlighted in the case material. Among the key issues discussed in this analysis include the sustainable materials used in the construction of Park Place in Seattle, the systems in the building and the level of participation of the participants.  </w:t>
      </w:r>
      <w:r w:rsidR="00556DD8" w:rsidRPr="00556DD8">
        <w:rPr>
          <w:rFonts w:ascii="Times New Roman" w:eastAsiaTheme="minorHAnsi" w:hAnsi="Times New Roman" w:cs="Times New Roman"/>
          <w:sz w:val="24"/>
          <w:szCs w:val="24"/>
        </w:rPr>
        <w:t xml:space="preserve">This case study also shows that Park Place in Seattle has implemented some of the best practices in its project for the sustainability of the environment. This is because many of the contributions to this project focused on a sustainable future. However, the case study has not included every details and aspect that are involved like the cost of the production, supplies, and implementation of the project. This makes it difficult to understand the burden that an organization or a company undergoes to ensure sustainable development. </w:t>
      </w:r>
      <w:r>
        <w:rPr>
          <w:rFonts w:ascii="Times New Roman" w:hAnsi="Times New Roman" w:cs="Times New Roman"/>
          <w:sz w:val="24"/>
          <w:szCs w:val="24"/>
        </w:rPr>
        <w:t>Based on this analysis, sustainability models with low resolutions tend to fail because various important factors are significantly ignored. This study has highlighted the importance of carrying out a sustainability plan to ensure that the constructions meet the certifications for sustainability.</w:t>
      </w:r>
      <w:r w:rsidR="006D7B3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01649" w:rsidRDefault="00C01649">
      <w:pPr>
        <w:rPr>
          <w:rFonts w:ascii="Times New Roman" w:hAnsi="Times New Roman" w:cs="Times New Roman"/>
          <w:color w:val="222222"/>
          <w:sz w:val="24"/>
          <w:szCs w:val="24"/>
          <w:shd w:val="clear" w:color="auto" w:fill="FFFFFF"/>
        </w:rPr>
      </w:pPr>
    </w:p>
    <w:p w:rsidR="00C01649" w:rsidRDefault="00C01649">
      <w:pPr>
        <w:rPr>
          <w:rFonts w:ascii="Times New Roman" w:hAnsi="Times New Roman" w:cs="Times New Roman"/>
          <w:color w:val="222222"/>
          <w:sz w:val="24"/>
          <w:szCs w:val="24"/>
          <w:shd w:val="clear" w:color="auto" w:fill="FFFFFF"/>
        </w:rPr>
      </w:pPr>
    </w:p>
    <w:p w:rsidR="00C01649" w:rsidRDefault="00C01649">
      <w:pPr>
        <w:rPr>
          <w:rFonts w:ascii="Times New Roman" w:hAnsi="Times New Roman" w:cs="Times New Roman"/>
          <w:color w:val="222222"/>
          <w:sz w:val="24"/>
          <w:szCs w:val="24"/>
          <w:shd w:val="clear" w:color="auto" w:fill="FFFFFF"/>
        </w:rPr>
      </w:pPr>
    </w:p>
    <w:p w:rsidR="00C01649" w:rsidRDefault="00C01649">
      <w:pP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556DD8" w:rsidRDefault="00556DD8">
      <w:pPr>
        <w:jc w:val="center"/>
        <w:rPr>
          <w:rFonts w:ascii="Times New Roman" w:hAnsi="Times New Roman" w:cs="Times New Roman"/>
          <w:color w:val="222222"/>
          <w:sz w:val="24"/>
          <w:szCs w:val="24"/>
          <w:shd w:val="clear" w:color="auto" w:fill="FFFFFF"/>
        </w:rPr>
      </w:pPr>
    </w:p>
    <w:p w:rsidR="00C01649" w:rsidRDefault="00321B4D">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C01649" w:rsidRDefault="00321B4D">
      <w:pPr>
        <w:spacing w:after="0"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Diesendorf, M. (2001). Models of sustainability and sustainable development. </w:t>
      </w:r>
      <w:r>
        <w:rPr>
          <w:rFonts w:ascii="Times New Roman" w:hAnsi="Times New Roman" w:cs="Times New Roman"/>
          <w:i/>
          <w:iCs/>
          <w:color w:val="222222"/>
          <w:sz w:val="24"/>
          <w:szCs w:val="24"/>
          <w:shd w:val="clear" w:color="auto" w:fill="FFFFFF"/>
        </w:rPr>
        <w:t>International journal of agricultural resources, governance and ecology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(2), 109-123.</w:t>
      </w:r>
    </w:p>
    <w:p w:rsidR="00C01649" w:rsidRDefault="00321B4D">
      <w:pPr>
        <w:spacing w:after="0" w:line="240" w:lineRule="auto"/>
        <w:ind w:left="720" w:hanging="720"/>
        <w:rPr>
          <w:rFonts w:ascii="Times New Roman" w:hAnsi="Times New Roman" w:cs="Times New Roman"/>
          <w:color w:val="000000"/>
          <w:sz w:val="24"/>
          <w:szCs w:val="24"/>
        </w:rPr>
      </w:pPr>
      <w:r>
        <w:rPr>
          <w:rFonts w:ascii="Times New Roman" w:hAnsi="Times New Roman" w:cs="Times New Roman"/>
          <w:sz w:val="24"/>
          <w:szCs w:val="24"/>
        </w:rPr>
        <w:t>Moloney. C. (December 27, 2016). Biomimicry in Green Building: 3 Ways Sustainable Building Technologies Copied Nature. GreenBuilding. Retrieved from</w:t>
      </w:r>
      <w:r>
        <w:t xml:space="preserve"> </w:t>
      </w:r>
      <w:hyperlink r:id="rId7" w:history="1">
        <w:r>
          <w:rPr>
            <w:rStyle w:val="Hyperlink"/>
            <w:rFonts w:ascii="Times New Roman" w:hAnsi="Times New Roman" w:cs="Times New Roman"/>
            <w:color w:val="000000"/>
            <w:sz w:val="24"/>
            <w:szCs w:val="24"/>
            <w:u w:val="none"/>
          </w:rPr>
          <w:t>https://www.green-buildings.com/articles/biomimicry-in-green-building-3-ways-sustainable-building-technologies-copied-nature/</w:t>
        </w:r>
      </w:hyperlink>
    </w:p>
    <w:p w:rsidR="00C01649" w:rsidRDefault="00321B4D">
      <w:pPr>
        <w:spacing w:after="0" w:line="24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Yao, Y. (2016). Models for Sustainability. </w:t>
      </w:r>
      <w:r>
        <w:rPr>
          <w:rFonts w:ascii="Times New Roman" w:hAnsi="Times New Roman" w:cs="Times New Roman"/>
          <w:i/>
          <w:iCs/>
          <w:color w:val="222222"/>
          <w:sz w:val="24"/>
          <w:szCs w:val="24"/>
          <w:shd w:val="clear" w:color="auto" w:fill="FFFFFF"/>
        </w:rPr>
        <w:t>BioResources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(1), 1-3.</w:t>
      </w:r>
    </w:p>
    <w:p w:rsidR="00C01649" w:rsidRDefault="00C01649">
      <w:pPr>
        <w:rPr>
          <w:rFonts w:ascii="Times New Roman" w:hAnsi="Times New Roman" w:cs="Times New Roman"/>
          <w:sz w:val="24"/>
          <w:szCs w:val="24"/>
        </w:rPr>
      </w:pPr>
    </w:p>
    <w:sectPr w:rsidR="00C016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E3C" w:rsidRDefault="00DC3E3C">
      <w:pPr>
        <w:spacing w:after="0" w:line="240" w:lineRule="auto"/>
      </w:pPr>
      <w:r>
        <w:separator/>
      </w:r>
    </w:p>
  </w:endnote>
  <w:endnote w:type="continuationSeparator" w:id="0">
    <w:p w:rsidR="00DC3E3C" w:rsidRDefault="00DC3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E3C" w:rsidRDefault="00DC3E3C">
      <w:pPr>
        <w:spacing w:after="0" w:line="240" w:lineRule="auto"/>
      </w:pPr>
      <w:r>
        <w:separator/>
      </w:r>
    </w:p>
  </w:footnote>
  <w:footnote w:type="continuationSeparator" w:id="0">
    <w:p w:rsidR="00DC3E3C" w:rsidRDefault="00DC3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49" w:rsidRDefault="00321B4D">
    <w:pPr>
      <w:pStyle w:val="Header"/>
      <w:rPr>
        <w:rFonts w:ascii="Times New Roman" w:hAnsi="Times New Roman" w:cs="Times New Roman"/>
        <w:sz w:val="24"/>
        <w:szCs w:val="24"/>
      </w:rPr>
    </w:pPr>
    <w:r>
      <w:rPr>
        <w:rFonts w:ascii="Times New Roman" w:hAnsi="Times New Roman" w:cs="Times New Roman"/>
        <w:sz w:val="24"/>
        <w:szCs w:val="24"/>
      </w:rPr>
      <w:t>CASE STUDY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5489B">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C01649" w:rsidRDefault="00C016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49" w:rsidRDefault="00321B4D">
    <w:pPr>
      <w:pStyle w:val="Header"/>
      <w:rPr>
        <w:rFonts w:ascii="Times New Roman" w:hAnsi="Times New Roman" w:cs="Times New Roman"/>
        <w:sz w:val="24"/>
        <w:szCs w:val="24"/>
      </w:rPr>
    </w:pPr>
    <w:r>
      <w:rPr>
        <w:rFonts w:ascii="Times New Roman" w:hAnsi="Times New Roman" w:cs="Times New Roman"/>
        <w:sz w:val="24"/>
        <w:szCs w:val="24"/>
      </w:rPr>
      <w:t>Running head: CASE STUDY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5489B">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NLE0MTK1NLUwNzJS0lEKTi0uzszPAykwrAUAh9OLhiwAAAA="/>
  </w:docVars>
  <w:rsids>
    <w:rsidRoot w:val="00C01649"/>
    <w:rsid w:val="0005489B"/>
    <w:rsid w:val="00321B4D"/>
    <w:rsid w:val="00556DD8"/>
    <w:rsid w:val="006D7B3B"/>
    <w:rsid w:val="007277FE"/>
    <w:rsid w:val="00C01649"/>
    <w:rsid w:val="00DC3E3C"/>
    <w:rsid w:val="00E2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reen-buildings.com/articles/biomimicry-in-green-building-3-ways-sustainable-building-technologies-copied-natu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2018-07-30T09:03:00Z</dcterms:created>
  <dcterms:modified xsi:type="dcterms:W3CDTF">2018-07-30T09:03:00Z</dcterms:modified>
</cp:coreProperties>
</file>